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Consiglio comunale e commissioni consiliari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Spese che impegnano i bilanci per gli esercizi successivi, escluse quelle relative alle locazioni di immobili ed alla somministrazione e fornitura di beni e servizi a carattere continuativo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Cecoro Federico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Spese che impegnano i bilanci per gli esercizi successivi, escluse quelle relative alle locazioni di immobili ed alla somministrazione e fornitura di beni e servizi a carattere continuativo.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